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BC" w:rsidRDefault="002420AB" w:rsidP="003D4EE8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089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AB" w:rsidRPr="003D4EE8" w:rsidRDefault="002420AB" w:rsidP="003D4EE8">
      <w:pPr>
        <w:spacing w:after="0" w:line="240" w:lineRule="auto"/>
        <w:jc w:val="center"/>
        <w:rPr>
          <w:rStyle w:val="Pogrubienie"/>
          <w:rFonts w:cs="Arial"/>
          <w:color w:val="000000"/>
          <w:sz w:val="24"/>
          <w:szCs w:val="24"/>
          <w:u w:val="single"/>
          <w:bdr w:val="none" w:sz="0" w:space="0" w:color="auto" w:frame="1"/>
          <w:shd w:val="clear" w:color="auto" w:fill="FEFEFE"/>
        </w:rPr>
      </w:pPr>
      <w:r w:rsidRPr="003D4EE8">
        <w:rPr>
          <w:rStyle w:val="Pogrubienie"/>
          <w:rFonts w:cs="Arial"/>
          <w:color w:val="000000"/>
          <w:sz w:val="24"/>
          <w:szCs w:val="24"/>
          <w:u w:val="single"/>
          <w:bdr w:val="none" w:sz="0" w:space="0" w:color="auto" w:frame="1"/>
          <w:shd w:val="clear" w:color="auto" w:fill="FEFEFE"/>
        </w:rPr>
        <w:t>INFORMACJA O PROJEKCIE „MATEMATYCZNE EKSPERYMENTY”</w:t>
      </w:r>
    </w:p>
    <w:p w:rsidR="002420AB" w:rsidRPr="003D4EE8" w:rsidRDefault="002420AB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</w:p>
    <w:p w:rsidR="002420AB" w:rsidRPr="003D4EE8" w:rsidRDefault="002420AB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Pełny tytuł projektu:</w:t>
      </w:r>
      <w:r w:rsidRPr="003D4EE8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„Matematyczne eksperymenty – poprawa jakości nauczania matematyki w szkołach podstawowych i ponadgimnazjalnych w Gminie Wrocław”</w:t>
      </w:r>
    </w:p>
    <w:p w:rsidR="002420AB" w:rsidRPr="003D4EE8" w:rsidRDefault="002420AB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</w:p>
    <w:p w:rsidR="002420AB" w:rsidRPr="003D4EE8" w:rsidRDefault="002420AB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Termin realizacji:</w:t>
      </w:r>
      <w:r w:rsidRPr="003D4EE8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od 1 września 2017 r. do 30 czerwca 2019 r.</w:t>
      </w:r>
    </w:p>
    <w:p w:rsidR="002420AB" w:rsidRPr="003D4EE8" w:rsidRDefault="002420AB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</w:p>
    <w:p w:rsidR="002420AB" w:rsidRPr="003D4EE8" w:rsidRDefault="003D4EE8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Uczestnicy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>: uczniowie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>/uczennice oraz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nauczyciele z </w:t>
      </w:r>
      <w:r w:rsidR="002420AB" w:rsidRPr="003D4EE8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>48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> szkół podstawowych i ponadgimnazjalnych Gminy Wrocław – uczniowie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>/uczennice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klas </w:t>
      </w:r>
      <w:r w:rsidR="002420AB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>IV, V i VI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szkół podstawowych oraz klas </w:t>
      </w:r>
      <w:r w:rsidR="002420AB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 xml:space="preserve">I </w:t>
      </w:r>
      <w:proofErr w:type="spellStart"/>
      <w:r w:rsidR="002420AB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>i</w:t>
      </w:r>
      <w:proofErr w:type="spellEnd"/>
      <w:r w:rsidR="002420AB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 xml:space="preserve"> II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szkół ponadgimnazjalnych.</w:t>
      </w:r>
    </w:p>
    <w:p w:rsidR="002420AB" w:rsidRPr="003D4EE8" w:rsidRDefault="002420AB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</w:p>
    <w:p w:rsidR="002420AB" w:rsidRPr="003D4EE8" w:rsidRDefault="00FF7942" w:rsidP="003D4EE8">
      <w:pPr>
        <w:spacing w:after="0" w:line="240" w:lineRule="auto"/>
        <w:jc w:val="both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Główny cel projektu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>:</w:t>
      </w:r>
      <w:r w:rsidRPr="003D4EE8">
        <w:rPr>
          <w:rFonts w:cs="Arial"/>
          <w:color w:val="000000"/>
          <w:sz w:val="20"/>
          <w:szCs w:val="20"/>
        </w:rPr>
        <w:t xml:space="preserve"> </w:t>
      </w:r>
      <w:r w:rsidR="002420AB" w:rsidRPr="003D4EE8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>Poprawa efektywności nauczania matematyki</w:t>
      </w:r>
      <w:r w:rsidR="002420AB"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w 48 szkołach Gminy Wrocław poprzez stworzenie warunków i wdrożenie nauczania eksperymentalnego w okresie 01.09.2017–30.06.2019.</w:t>
      </w:r>
    </w:p>
    <w:p w:rsidR="00FF7942" w:rsidRPr="003D4EE8" w:rsidRDefault="00FF7942" w:rsidP="003D4EE8">
      <w:pPr>
        <w:spacing w:after="0" w:line="240" w:lineRule="auto"/>
        <w:jc w:val="both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</w:p>
    <w:p w:rsidR="003D4EE8" w:rsidRPr="003D4EE8" w:rsidRDefault="003D4EE8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Korzyści</w:t>
      </w:r>
      <w:r w:rsidR="00FF7942"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dla </w:t>
      </w: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uczestniczących w projekcie </w:t>
      </w:r>
      <w:r w:rsidR="00FF7942"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uczniów</w:t>
      </w: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/uczennic</w:t>
      </w:r>
      <w:r w:rsidR="00FF7942"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:</w:t>
      </w:r>
    </w:p>
    <w:p w:rsidR="00FF7942" w:rsidRPr="003D4EE8" w:rsidRDefault="003D4EE8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>P</w:t>
      </w:r>
      <w:r w:rsidR="002420AB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 xml:space="preserve">odniesienie </w:t>
      </w:r>
      <w:r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 xml:space="preserve">ich </w:t>
      </w:r>
      <w:r w:rsidR="002420AB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>kompete</w:t>
      </w:r>
      <w:r w:rsidR="00FF7942"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>ncji kluczowych</w:t>
      </w:r>
      <w:r w:rsidR="00FF7942"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na rynku pracy, w tym: </w:t>
      </w:r>
    </w:p>
    <w:p w:rsidR="00FF7942" w:rsidRPr="003D4EE8" w:rsidRDefault="00FF7942" w:rsidP="003D4E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kompetencji matematycznych</w:t>
      </w:r>
    </w:p>
    <w:p w:rsidR="00FF7942" w:rsidRPr="003D4EE8" w:rsidRDefault="00FF7942" w:rsidP="003D4E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umiejętności uczenia się</w:t>
      </w:r>
    </w:p>
    <w:p w:rsidR="00FF7942" w:rsidRPr="003D4EE8" w:rsidRDefault="002420AB" w:rsidP="003D4E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postaw</w:t>
      </w:r>
      <w:r w:rsidR="00FF7942" w:rsidRPr="003D4EE8">
        <w:rPr>
          <w:rFonts w:cs="Arial"/>
          <w:color w:val="000000"/>
          <w:sz w:val="20"/>
          <w:szCs w:val="20"/>
          <w:shd w:val="clear" w:color="auto" w:fill="FEFEFE"/>
        </w:rPr>
        <w:t>y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kreatywn</w:t>
      </w:r>
      <w:r w:rsidR="00FF7942" w:rsidRPr="003D4EE8">
        <w:rPr>
          <w:rFonts w:cs="Arial"/>
          <w:color w:val="000000"/>
          <w:sz w:val="20"/>
          <w:szCs w:val="20"/>
          <w:shd w:val="clear" w:color="auto" w:fill="FEFEFE"/>
        </w:rPr>
        <w:t>ej</w:t>
      </w:r>
    </w:p>
    <w:p w:rsidR="00FF7942" w:rsidRPr="003D4EE8" w:rsidRDefault="002420AB" w:rsidP="003D4E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prac</w:t>
      </w:r>
      <w:r w:rsidR="00FF7942" w:rsidRPr="003D4EE8">
        <w:rPr>
          <w:rFonts w:cs="Arial"/>
          <w:color w:val="000000"/>
          <w:sz w:val="20"/>
          <w:szCs w:val="20"/>
          <w:shd w:val="clear" w:color="auto" w:fill="FEFEFE"/>
        </w:rPr>
        <w:t>y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zespołow</w:t>
      </w:r>
      <w:r w:rsidR="00FF7942" w:rsidRPr="003D4EE8">
        <w:rPr>
          <w:rFonts w:cs="Arial"/>
          <w:color w:val="000000"/>
          <w:sz w:val="20"/>
          <w:szCs w:val="20"/>
          <w:shd w:val="clear" w:color="auto" w:fill="FEFEFE"/>
        </w:rPr>
        <w:t>ej.</w:t>
      </w:r>
    </w:p>
    <w:p w:rsidR="002420AB" w:rsidRPr="003D4EE8" w:rsidRDefault="00FF7942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Projekt </w:t>
      </w:r>
      <w:r w:rsidR="003D4EE8" w:rsidRPr="003D4EE8">
        <w:rPr>
          <w:rFonts w:cs="Arial"/>
          <w:color w:val="000000"/>
          <w:sz w:val="20"/>
          <w:szCs w:val="20"/>
          <w:shd w:val="clear" w:color="auto" w:fill="FEFEFE"/>
        </w:rPr>
        <w:t>zakłada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</w:t>
      </w:r>
      <w:r w:rsidRPr="003D4EE8">
        <w:rPr>
          <w:rFonts w:cs="Arial"/>
          <w:b/>
          <w:color w:val="000000"/>
          <w:sz w:val="20"/>
          <w:szCs w:val="20"/>
          <w:shd w:val="clear" w:color="auto" w:fill="FEFEFE"/>
        </w:rPr>
        <w:t>korzystny wpływ na postępy edukacyjne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uczniów</w:t>
      </w:r>
      <w:r w:rsidR="003D4EE8" w:rsidRPr="003D4EE8">
        <w:rPr>
          <w:rFonts w:cs="Arial"/>
          <w:color w:val="000000"/>
          <w:sz w:val="20"/>
          <w:szCs w:val="20"/>
          <w:shd w:val="clear" w:color="auto" w:fill="FEFEFE"/>
        </w:rPr>
        <w:t>/uczennic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>.</w:t>
      </w:r>
      <w:r w:rsidR="002420AB"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</w:t>
      </w:r>
    </w:p>
    <w:p w:rsidR="00FF7942" w:rsidRPr="003D4EE8" w:rsidRDefault="00FF7942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</w:p>
    <w:p w:rsidR="00FF7942" w:rsidRPr="003D4EE8" w:rsidRDefault="00FF7942" w:rsidP="003D4EE8">
      <w:p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Korzyś</w:t>
      </w:r>
      <w:r w:rsidR="003D4EE8" w:rsidRPr="003D4EE8">
        <w:rPr>
          <w:rFonts w:cs="Arial"/>
          <w:color w:val="000000"/>
          <w:sz w:val="20"/>
          <w:szCs w:val="20"/>
          <w:shd w:val="clear" w:color="auto" w:fill="FEFEFE"/>
        </w:rPr>
        <w:t>ci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 xml:space="preserve"> dla szkoły</w:t>
      </w:r>
      <w:r w:rsidR="003D4EE8" w:rsidRPr="003D4EE8">
        <w:rPr>
          <w:rFonts w:cs="Arial"/>
          <w:color w:val="000000"/>
          <w:sz w:val="20"/>
          <w:szCs w:val="20"/>
          <w:shd w:val="clear" w:color="auto" w:fill="FEFEFE"/>
        </w:rPr>
        <w:t>, do której chodzi uczeń/uczennica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>:</w:t>
      </w:r>
    </w:p>
    <w:p w:rsidR="002420AB" w:rsidRPr="003D4EE8" w:rsidRDefault="002420AB" w:rsidP="003D4E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doposażenie </w:t>
      </w:r>
      <w:r w:rsidRPr="003D4EE8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>90</w:t>
      </w:r>
      <w:r w:rsidR="00FF7942" w:rsidRPr="003D4EE8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>pracowni matematycznych w pomoce do nauczania matematyki</w:t>
      </w:r>
    </w:p>
    <w:p w:rsidR="00FF7942" w:rsidRPr="003D4EE8" w:rsidRDefault="00FF7942" w:rsidP="003D4E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wzbogacenie oferty edukacyjnej szkoły</w:t>
      </w:r>
    </w:p>
    <w:p w:rsidR="00FF7942" w:rsidRPr="003D4EE8" w:rsidRDefault="00FF7942" w:rsidP="003D4E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poprawa efektywności nauczania matematyki.</w:t>
      </w:r>
    </w:p>
    <w:p w:rsidR="00FF7942" w:rsidRPr="003D4EE8" w:rsidRDefault="00FF7942" w:rsidP="003D4EE8">
      <w:p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</w:p>
    <w:p w:rsidR="003D4EE8" w:rsidRPr="003D4EE8" w:rsidRDefault="00FF7942" w:rsidP="003D4EE8">
      <w:p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  <w:t>Jak będzie wyglądał udział ucznia</w:t>
      </w:r>
      <w:r w:rsidR="003D4EE8" w:rsidRPr="003D4EE8">
        <w:rPr>
          <w:rFonts w:cs="Arial"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  <w:t>/uczennicy</w:t>
      </w:r>
      <w:r w:rsidRPr="003D4EE8">
        <w:rPr>
          <w:rFonts w:cs="Arial"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w projekcie:</w:t>
      </w:r>
    </w:p>
    <w:p w:rsidR="002420AB" w:rsidRPr="003D4EE8" w:rsidRDefault="00FF7942" w:rsidP="003D4EE8">
      <w:pPr>
        <w:spacing w:after="0" w:line="240" w:lineRule="auto"/>
        <w:jc w:val="both"/>
        <w:rPr>
          <w:rFonts w:cs="Verdana"/>
          <w:sz w:val="20"/>
          <w:szCs w:val="20"/>
        </w:rPr>
      </w:pPr>
      <w:r w:rsidRPr="003D4EE8">
        <w:rPr>
          <w:sz w:val="20"/>
          <w:szCs w:val="20"/>
        </w:rPr>
        <w:t>U</w:t>
      </w:r>
      <w:r w:rsidR="002420AB" w:rsidRPr="003D4EE8">
        <w:rPr>
          <w:sz w:val="20"/>
          <w:szCs w:val="20"/>
        </w:rPr>
        <w:t>czeń</w:t>
      </w:r>
      <w:r w:rsidR="003D4EE8" w:rsidRPr="003D4EE8">
        <w:rPr>
          <w:sz w:val="20"/>
          <w:szCs w:val="20"/>
        </w:rPr>
        <w:t>/uczennica</w:t>
      </w:r>
      <w:r w:rsidR="002420AB" w:rsidRPr="003D4EE8">
        <w:rPr>
          <w:sz w:val="20"/>
          <w:szCs w:val="20"/>
        </w:rPr>
        <w:t xml:space="preserve"> weźmie udział w jednym z trzech rodzajów wsparcia –</w:t>
      </w:r>
      <w:r w:rsidRPr="003D4EE8">
        <w:rPr>
          <w:sz w:val="20"/>
          <w:szCs w:val="20"/>
        </w:rPr>
        <w:t xml:space="preserve"> w formie</w:t>
      </w:r>
      <w:r w:rsidR="002420AB" w:rsidRPr="003D4EE8">
        <w:rPr>
          <w:sz w:val="20"/>
          <w:szCs w:val="20"/>
        </w:rPr>
        <w:t xml:space="preserve"> zajęć dodatkowych:</w:t>
      </w:r>
      <w:r w:rsidR="002420AB" w:rsidRPr="003D4EE8">
        <w:rPr>
          <w:rFonts w:cs="Verdana"/>
          <w:b/>
          <w:sz w:val="20"/>
          <w:szCs w:val="20"/>
        </w:rPr>
        <w:t xml:space="preserve"> zajęciach dydaktyczno-wyrównawczych</w:t>
      </w:r>
      <w:r w:rsidR="002420AB" w:rsidRPr="003D4EE8">
        <w:rPr>
          <w:rFonts w:cs="Verdana"/>
          <w:sz w:val="20"/>
          <w:szCs w:val="20"/>
        </w:rPr>
        <w:t xml:space="preserve">, </w:t>
      </w:r>
      <w:r w:rsidR="002420AB" w:rsidRPr="003D4EE8">
        <w:rPr>
          <w:rFonts w:cs="Verdana"/>
          <w:b/>
          <w:sz w:val="20"/>
          <w:szCs w:val="20"/>
        </w:rPr>
        <w:t>zajęciach rozwijających uzdolnienia</w:t>
      </w:r>
      <w:r w:rsidR="002420AB" w:rsidRPr="003D4EE8">
        <w:rPr>
          <w:rFonts w:cs="Verdana"/>
          <w:sz w:val="20"/>
          <w:szCs w:val="20"/>
        </w:rPr>
        <w:t xml:space="preserve"> lub </w:t>
      </w:r>
      <w:r w:rsidR="002420AB" w:rsidRPr="003D4EE8">
        <w:rPr>
          <w:rFonts w:cs="Verdana"/>
          <w:b/>
          <w:sz w:val="20"/>
          <w:szCs w:val="20"/>
        </w:rPr>
        <w:t>warsztatach</w:t>
      </w:r>
      <w:r w:rsidR="002420AB" w:rsidRPr="003D4EE8">
        <w:rPr>
          <w:sz w:val="20"/>
          <w:szCs w:val="20"/>
        </w:rPr>
        <w:t>.</w:t>
      </w:r>
      <w:r w:rsidRPr="003D4EE8">
        <w:rPr>
          <w:sz w:val="20"/>
          <w:szCs w:val="20"/>
        </w:rPr>
        <w:t xml:space="preserve"> Zajęcia te będą odbywały się </w:t>
      </w:r>
      <w:r w:rsidR="002420AB" w:rsidRPr="003D4EE8">
        <w:rPr>
          <w:rFonts w:cs="Verdana"/>
          <w:b/>
          <w:sz w:val="20"/>
          <w:szCs w:val="20"/>
        </w:rPr>
        <w:t>w I</w:t>
      </w:r>
      <w:r w:rsidR="00842E49">
        <w:rPr>
          <w:rFonts w:cs="Verdana"/>
          <w:b/>
          <w:sz w:val="20"/>
          <w:szCs w:val="20"/>
        </w:rPr>
        <w:t>I</w:t>
      </w:r>
      <w:r w:rsidR="002420AB" w:rsidRPr="003D4EE8">
        <w:rPr>
          <w:rFonts w:cs="Verdana"/>
          <w:b/>
          <w:sz w:val="20"/>
          <w:szCs w:val="20"/>
        </w:rPr>
        <w:t xml:space="preserve"> semestrze roku szkolnego 2017/2018</w:t>
      </w:r>
      <w:r w:rsidR="002420AB" w:rsidRPr="003D4EE8">
        <w:rPr>
          <w:rFonts w:cs="Verdana"/>
          <w:sz w:val="20"/>
          <w:szCs w:val="20"/>
        </w:rPr>
        <w:t xml:space="preserve"> oraz</w:t>
      </w:r>
      <w:r w:rsidR="002420AB" w:rsidRPr="003D4EE8">
        <w:rPr>
          <w:rFonts w:cs="Verdana"/>
          <w:b/>
          <w:sz w:val="20"/>
          <w:szCs w:val="20"/>
        </w:rPr>
        <w:t xml:space="preserve"> I </w:t>
      </w:r>
      <w:proofErr w:type="spellStart"/>
      <w:r w:rsidR="002420AB" w:rsidRPr="003D4EE8">
        <w:rPr>
          <w:rFonts w:cs="Verdana"/>
          <w:b/>
          <w:sz w:val="20"/>
          <w:szCs w:val="20"/>
        </w:rPr>
        <w:t>i</w:t>
      </w:r>
      <w:proofErr w:type="spellEnd"/>
      <w:r w:rsidR="002420AB" w:rsidRPr="003D4EE8">
        <w:rPr>
          <w:rFonts w:cs="Verdana"/>
          <w:b/>
          <w:sz w:val="20"/>
          <w:szCs w:val="20"/>
        </w:rPr>
        <w:t xml:space="preserve"> II semestrze roku szkolnego 2018/2019</w:t>
      </w:r>
      <w:r w:rsidR="003D4EE8" w:rsidRPr="003D4EE8">
        <w:rPr>
          <w:rFonts w:cs="Verdana"/>
          <w:sz w:val="20"/>
          <w:szCs w:val="20"/>
        </w:rPr>
        <w:t xml:space="preserve">, w szkole, do której uczeń/uczennica uczęszcza. Uczeń/uczennica będzie brał/-a udział w zajęciach dodatkowych w grupach od 2 do 8 osób. Jeden blok tych zajęć dodatkowych będzie </w:t>
      </w:r>
      <w:r w:rsidR="002420AB" w:rsidRPr="003D4EE8">
        <w:rPr>
          <w:rFonts w:cs="Verdana"/>
          <w:sz w:val="20"/>
          <w:szCs w:val="20"/>
        </w:rPr>
        <w:t xml:space="preserve">trwał </w:t>
      </w:r>
      <w:r w:rsidR="002420AB" w:rsidRPr="003D4EE8">
        <w:rPr>
          <w:rFonts w:cs="Verdana"/>
          <w:b/>
          <w:sz w:val="20"/>
          <w:szCs w:val="20"/>
        </w:rPr>
        <w:t>45 minut</w:t>
      </w:r>
      <w:r w:rsidR="002420AB" w:rsidRPr="003D4EE8">
        <w:rPr>
          <w:rFonts w:cs="Verdana"/>
          <w:sz w:val="20"/>
          <w:szCs w:val="20"/>
        </w:rPr>
        <w:t>.</w:t>
      </w:r>
      <w:r w:rsidR="003D4EE8" w:rsidRPr="003D4EE8"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  <w:t xml:space="preserve"> </w:t>
      </w:r>
      <w:r w:rsidR="002420AB" w:rsidRPr="003D4EE8">
        <w:rPr>
          <w:rFonts w:cs="Verdana"/>
          <w:sz w:val="20"/>
          <w:szCs w:val="20"/>
        </w:rPr>
        <w:t xml:space="preserve">Zajęcia dodatkowe w ramach </w:t>
      </w:r>
      <w:r w:rsidR="003D4EE8" w:rsidRPr="003D4EE8">
        <w:rPr>
          <w:rFonts w:cs="Verdana"/>
          <w:sz w:val="20"/>
          <w:szCs w:val="20"/>
        </w:rPr>
        <w:t xml:space="preserve">projektu </w:t>
      </w:r>
      <w:r w:rsidR="002420AB" w:rsidRPr="003D4EE8">
        <w:rPr>
          <w:rFonts w:cs="Verdana"/>
          <w:sz w:val="20"/>
          <w:szCs w:val="20"/>
        </w:rPr>
        <w:t>będą dostosowane do indywidualnych potrzeb uczniów/uczennic. Zajęcia te będą prowadzone w doposażonych</w:t>
      </w:r>
      <w:r w:rsidR="003D4EE8" w:rsidRPr="003D4EE8">
        <w:rPr>
          <w:rFonts w:cs="Verdana"/>
          <w:sz w:val="20"/>
          <w:szCs w:val="20"/>
        </w:rPr>
        <w:t xml:space="preserve"> </w:t>
      </w:r>
      <w:r w:rsidR="002420AB" w:rsidRPr="003D4EE8">
        <w:rPr>
          <w:rFonts w:cs="Verdana"/>
          <w:sz w:val="20"/>
          <w:szCs w:val="20"/>
        </w:rPr>
        <w:t>pracowniach matematycznych z wykorzystaniem zakupionych w ramach projektu nowoczesnych pomocy dydaktycznych.</w:t>
      </w:r>
      <w:r w:rsidR="0007742C">
        <w:rPr>
          <w:rFonts w:cs="Verdana"/>
          <w:sz w:val="20"/>
          <w:szCs w:val="20"/>
        </w:rPr>
        <w:t xml:space="preserve"> O tym</w:t>
      </w:r>
      <w:r w:rsidR="00CA0F8A">
        <w:rPr>
          <w:rFonts w:cs="Verdana"/>
          <w:sz w:val="20"/>
          <w:szCs w:val="20"/>
        </w:rPr>
        <w:t>,</w:t>
      </w:r>
      <w:r w:rsidR="0007742C">
        <w:rPr>
          <w:rFonts w:cs="Verdana"/>
          <w:sz w:val="20"/>
          <w:szCs w:val="20"/>
        </w:rPr>
        <w:t xml:space="preserve"> w jakich zajęciach dodatkowych weźmie udział uczeń/uczennica</w:t>
      </w:r>
      <w:r w:rsidR="00CA0F8A">
        <w:rPr>
          <w:rFonts w:cs="Verdana"/>
          <w:sz w:val="20"/>
          <w:szCs w:val="20"/>
        </w:rPr>
        <w:t>,</w:t>
      </w:r>
      <w:r w:rsidR="0007742C">
        <w:rPr>
          <w:rFonts w:cs="Verdana"/>
          <w:sz w:val="20"/>
          <w:szCs w:val="20"/>
        </w:rPr>
        <w:t xml:space="preserve"> zadecyduje powołana zarządzeniem dyrektora szkoły komisja rekrutacyjna.</w:t>
      </w:r>
    </w:p>
    <w:p w:rsidR="003D4EE8" w:rsidRPr="003D4EE8" w:rsidRDefault="003D4EE8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</w:p>
    <w:p w:rsidR="003D4EE8" w:rsidRPr="003D4EE8" w:rsidRDefault="003D4EE8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Wartość projektu: </w:t>
      </w:r>
      <w:r w:rsidRPr="003D4EE8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EFEFE"/>
        </w:rPr>
        <w:t>5.891.633 zł</w:t>
      </w:r>
    </w:p>
    <w:p w:rsidR="003D4EE8" w:rsidRPr="003D4EE8" w:rsidRDefault="003D4EE8" w:rsidP="003D4EE8">
      <w:pPr>
        <w:spacing w:after="0" w:line="240" w:lineRule="auto"/>
        <w:jc w:val="both"/>
        <w:rPr>
          <w:rStyle w:val="Pogrubienie"/>
          <w:rFonts w:cs="Arial"/>
          <w:color w:val="000000"/>
          <w:sz w:val="20"/>
          <w:szCs w:val="20"/>
          <w:bdr w:val="none" w:sz="0" w:space="0" w:color="auto" w:frame="1"/>
          <w:shd w:val="clear" w:color="auto" w:fill="FEFEFE"/>
        </w:rPr>
      </w:pPr>
    </w:p>
    <w:p w:rsidR="003D4EE8" w:rsidRPr="003D4EE8" w:rsidRDefault="003D4EE8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Źródło finansowania: Regionalny Program Operacyjny Województwa Dolnośląskiego na lata 2014- 2020 (środki Unii Europejskiej w ramach Europejskiego Funduszu Społecznego ) oraz budżet Gminy Wrocław.</w:t>
      </w:r>
    </w:p>
    <w:p w:rsidR="003D4EE8" w:rsidRPr="003D4EE8" w:rsidRDefault="003D4EE8" w:rsidP="003D4EE8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EFEFE"/>
        </w:rPr>
      </w:pPr>
    </w:p>
    <w:p w:rsidR="003D4EE8" w:rsidRPr="003D4EE8" w:rsidRDefault="003D4EE8" w:rsidP="003D4EE8">
      <w:pPr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</w:rPr>
      </w:pPr>
      <w:r w:rsidRPr="003D4EE8">
        <w:rPr>
          <w:rFonts w:cs="Arial"/>
          <w:color w:val="000000"/>
          <w:sz w:val="20"/>
          <w:szCs w:val="20"/>
          <w:shd w:val="clear" w:color="auto" w:fill="FEFEFE"/>
        </w:rPr>
        <w:t>Realizator projektu:</w:t>
      </w:r>
      <w:r w:rsidRPr="003D4EE8">
        <w:rPr>
          <w:rFonts w:cs="Arial"/>
          <w:color w:val="000000"/>
          <w:sz w:val="20"/>
          <w:szCs w:val="20"/>
        </w:rPr>
        <w:t xml:space="preserve"> </w:t>
      </w:r>
      <w:r w:rsidRPr="003D4EE8">
        <w:rPr>
          <w:rFonts w:cs="Arial"/>
          <w:color w:val="000000"/>
          <w:sz w:val="20"/>
          <w:szCs w:val="20"/>
          <w:shd w:val="clear" w:color="auto" w:fill="FEFEFE"/>
        </w:rPr>
        <w:t>Centrum Kształcenia Praktycznego we Wrocławiu (z ramienia Gminy Wrocław jako realizator wiodący) we współpracy z 48 wrocławskimi szkołami podstawowymi i ponadgimnazjalnymi.</w:t>
      </w:r>
    </w:p>
    <w:sectPr w:rsidR="003D4EE8" w:rsidRPr="003D4E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63" w:rsidRDefault="00B54D63" w:rsidP="003D4EE8">
      <w:pPr>
        <w:spacing w:after="0" w:line="240" w:lineRule="auto"/>
      </w:pPr>
      <w:r>
        <w:separator/>
      </w:r>
    </w:p>
  </w:endnote>
  <w:endnote w:type="continuationSeparator" w:id="0">
    <w:p w:rsidR="00B54D63" w:rsidRDefault="00B54D63" w:rsidP="003D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638990"/>
      <w:docPartObj>
        <w:docPartGallery w:val="Page Numbers (Bottom of Page)"/>
        <w:docPartUnique/>
      </w:docPartObj>
    </w:sdtPr>
    <w:sdtEndPr/>
    <w:sdtContent>
      <w:p w:rsidR="003D4EE8" w:rsidRDefault="003D4E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1C">
          <w:rPr>
            <w:noProof/>
          </w:rPr>
          <w:t>1</w:t>
        </w:r>
        <w:r>
          <w:fldChar w:fldCharType="end"/>
        </w:r>
      </w:p>
    </w:sdtContent>
  </w:sdt>
  <w:p w:rsidR="003D4EE8" w:rsidRDefault="003D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63" w:rsidRDefault="00B54D63" w:rsidP="003D4EE8">
      <w:pPr>
        <w:spacing w:after="0" w:line="240" w:lineRule="auto"/>
      </w:pPr>
      <w:r>
        <w:separator/>
      </w:r>
    </w:p>
  </w:footnote>
  <w:footnote w:type="continuationSeparator" w:id="0">
    <w:p w:rsidR="00B54D63" w:rsidRDefault="00B54D63" w:rsidP="003D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D4"/>
    <w:multiLevelType w:val="hybridMultilevel"/>
    <w:tmpl w:val="8770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154D"/>
    <w:multiLevelType w:val="hybridMultilevel"/>
    <w:tmpl w:val="AE58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331C"/>
    <w:multiLevelType w:val="hybridMultilevel"/>
    <w:tmpl w:val="90D0F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9"/>
    <w:rsid w:val="0007742C"/>
    <w:rsid w:val="00086DBC"/>
    <w:rsid w:val="002420AB"/>
    <w:rsid w:val="003D4EE8"/>
    <w:rsid w:val="005A5A66"/>
    <w:rsid w:val="00842E49"/>
    <w:rsid w:val="008A5D10"/>
    <w:rsid w:val="009A4C29"/>
    <w:rsid w:val="00AB2C1C"/>
    <w:rsid w:val="00B54D63"/>
    <w:rsid w:val="00B849FA"/>
    <w:rsid w:val="00CA0F8A"/>
    <w:rsid w:val="00D67FEE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42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20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EE8"/>
  </w:style>
  <w:style w:type="paragraph" w:styleId="Stopka">
    <w:name w:val="footer"/>
    <w:basedOn w:val="Normalny"/>
    <w:link w:val="StopkaZnak"/>
    <w:uiPriority w:val="99"/>
    <w:unhideWhenUsed/>
    <w:rsid w:val="003D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42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20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EE8"/>
  </w:style>
  <w:style w:type="paragraph" w:styleId="Stopka">
    <w:name w:val="footer"/>
    <w:basedOn w:val="Normalny"/>
    <w:link w:val="StopkaZnak"/>
    <w:uiPriority w:val="99"/>
    <w:unhideWhenUsed/>
    <w:rsid w:val="003D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Żuchowski</dc:creator>
  <cp:lastModifiedBy>Renata Stańczak</cp:lastModifiedBy>
  <cp:revision>2</cp:revision>
  <dcterms:created xsi:type="dcterms:W3CDTF">2017-10-24T09:06:00Z</dcterms:created>
  <dcterms:modified xsi:type="dcterms:W3CDTF">2017-10-24T09:06:00Z</dcterms:modified>
</cp:coreProperties>
</file>